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C" w:rsidRDefault="00D26FEC" w:rsidP="00B138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414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26FEC" w:rsidRDefault="00D26FEC" w:rsidP="004144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соглашению от «30 » июня 2016 г.</w:t>
      </w:r>
    </w:p>
    <w:p w:rsidR="00D26FEC" w:rsidRDefault="00D26FEC" w:rsidP="004144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26FEC" w:rsidRPr="00D2727A" w:rsidRDefault="00D26FEC" w:rsidP="00B13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2/23</w:t>
      </w:r>
    </w:p>
    <w:p w:rsidR="00D26FEC" w:rsidRPr="00D2727A" w:rsidRDefault="00D26FEC" w:rsidP="00B13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«21» марта 2016 г. №123</w:t>
      </w:r>
    </w:p>
    <w:p w:rsidR="00D26FEC" w:rsidRPr="00D2727A" w:rsidRDefault="00D26FEC" w:rsidP="00B13827"/>
    <w:p w:rsidR="00D26FEC" w:rsidRPr="00D2727A" w:rsidRDefault="00D26FEC" w:rsidP="00B1382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629"/>
        <w:gridCol w:w="2126"/>
        <w:gridCol w:w="6597"/>
      </w:tblGrid>
      <w:tr w:rsidR="00D26FEC" w:rsidRPr="00D2727A">
        <w:trPr>
          <w:jc w:val="center"/>
        </w:trPr>
        <w:tc>
          <w:tcPr>
            <w:tcW w:w="6629" w:type="dxa"/>
          </w:tcPr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Незамаевского 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С.А.Левченко</w:t>
            </w: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</w:tcPr>
          <w:p w:rsidR="00D26FEC" w:rsidRPr="00D2727A" w:rsidRDefault="00D26FEC" w:rsidP="00C570B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D26FEC" w:rsidRPr="00D2727A" w:rsidRDefault="00D26FEC" w:rsidP="004144F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Д.В.Гусенов</w:t>
            </w: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D2727A" w:rsidRDefault="00D26FEC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D26FEC" w:rsidRPr="00D2727A" w:rsidRDefault="00D26FEC" w:rsidP="00B1382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6FEC" w:rsidRPr="00D2727A" w:rsidRDefault="00D26FEC" w:rsidP="00B1382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D26FEC" w:rsidRPr="00D2727A" w:rsidRDefault="00D26FEC" w:rsidP="00B1382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D26FEC" w:rsidRPr="00D2727A" w:rsidRDefault="00D26FEC" w:rsidP="00B13827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D2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72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6FEC" w:rsidRPr="00D2727A" w:rsidRDefault="00D26FEC" w:rsidP="00B13827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27A">
        <w:rPr>
          <w:rFonts w:ascii="Times New Roman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D26FEC" w:rsidRPr="004144F0" w:rsidRDefault="00D26FEC" w:rsidP="004144F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.</w:t>
      </w:r>
    </w:p>
    <w:p w:rsidR="00D26FEC" w:rsidRPr="00B13827" w:rsidRDefault="00D26FEC" w:rsidP="009C625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услугу:</w:t>
      </w:r>
    </w:p>
    <w:p w:rsidR="00D26FEC" w:rsidRPr="00B13827" w:rsidRDefault="00D26FEC" w:rsidP="009C625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B13827" w:rsidRDefault="00D26FEC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</w:t>
      </w:r>
      <w:r w:rsidRPr="00B1382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B13827">
        <w:rPr>
          <w:rFonts w:ascii="Times New Roman" w:hAnsi="Times New Roman" w:cs="Times New Roman"/>
          <w:sz w:val="28"/>
          <w:szCs w:val="28"/>
        </w:rPr>
        <w:t>тдел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827">
        <w:rPr>
          <w:rFonts w:ascii="Times New Roman" w:hAnsi="Times New Roman" w:cs="Times New Roman"/>
          <w:sz w:val="28"/>
          <w:szCs w:val="28"/>
        </w:rPr>
        <w:t>.</w:t>
      </w:r>
    </w:p>
    <w:p w:rsidR="00D26FEC" w:rsidRPr="00B13827" w:rsidRDefault="00D26FEC" w:rsidP="009C625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B13827" w:rsidRDefault="00D26FEC" w:rsidP="009C625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26FEC" w:rsidRPr="00B13827" w:rsidRDefault="00D26FEC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kern w:val="1"/>
        </w:rPr>
      </w:pPr>
      <w:r w:rsidRPr="00B13827">
        <w:rPr>
          <w:rFonts w:ascii="Times New Roman" w:hAnsi="Times New Roman" w:cs="Times New Roman"/>
          <w:kern w:val="1"/>
        </w:rPr>
        <w:t>Муниципальная услуга предоставляется бесплатно</w:t>
      </w:r>
    </w:p>
    <w:p w:rsidR="00D26FEC" w:rsidRPr="00B13827" w:rsidRDefault="00D26FEC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kern w:val="1"/>
        </w:rPr>
      </w:pPr>
    </w:p>
    <w:p w:rsidR="00D26FEC" w:rsidRPr="00B13827" w:rsidRDefault="00D26FEC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D26FEC" w:rsidRPr="00B13827" w:rsidRDefault="00D26FEC" w:rsidP="00B13827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13827">
        <w:rPr>
          <w:rFonts w:ascii="Times New Roman" w:hAnsi="Times New Roman" w:cs="Times New Roman"/>
          <w:kern w:val="1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>предос</w:t>
      </w:r>
      <w:r>
        <w:rPr>
          <w:rFonts w:ascii="Times New Roman" w:hAnsi="Times New Roman" w:cs="Times New Roman"/>
          <w:kern w:val="1"/>
          <w:sz w:val="28"/>
          <w:szCs w:val="28"/>
        </w:rPr>
        <w:t>тавления администрацией Незамаевского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kern w:val="1"/>
          <w:sz w:val="28"/>
          <w:szCs w:val="28"/>
        </w:rPr>
        <w:t>Павловского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 xml:space="preserve"> района муниципальной 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 w:cs="Times New Roman"/>
          <w:kern w:val="1"/>
          <w:sz w:val="28"/>
          <w:szCs w:val="28"/>
        </w:rPr>
        <w:t>, утвержденный постановлением администрации Незамаевского сельского поселения Павловского района от 27 июня 2016 года  № 99.</w:t>
      </w:r>
    </w:p>
    <w:p w:rsidR="00D26FEC" w:rsidRPr="00B13827" w:rsidRDefault="00D26FEC" w:rsidP="009C6257">
      <w:pPr>
        <w:spacing w:line="216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9C6257">
      <w:pPr>
        <w:spacing w:line="216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6FEC" w:rsidRPr="00B13827" w:rsidRDefault="00D26FEC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5E6DF5">
      <w:pPr>
        <w:pStyle w:val="ListParagraph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>физические или юридические лица либо их уполномоченные представители</w:t>
      </w:r>
    </w:p>
    <w:p w:rsidR="00D26FEC" w:rsidRPr="00B13827" w:rsidRDefault="00D26FEC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B13827">
        <w:rPr>
          <w:rFonts w:ascii="Times New Roman" w:hAnsi="Times New Roman" w:cs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6FEC" w:rsidRPr="00B13827" w:rsidRDefault="00D26FEC" w:rsidP="0046578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D26FEC" w:rsidRPr="00B13827">
        <w:tc>
          <w:tcPr>
            <w:tcW w:w="567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  <w:p w:rsidR="00D26FEC" w:rsidRPr="00B13827" w:rsidRDefault="00D26FEC" w:rsidP="00625C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D26FEC" w:rsidRPr="00B13827" w:rsidRDefault="00D26FEC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D26FEC" w:rsidRPr="00B13827" w:rsidRDefault="00D26FEC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:rsidR="00D26FEC" w:rsidRDefault="00D26FEC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 должен предоставить самостоятельно</w:t>
            </w:r>
          </w:p>
          <w:p w:rsidR="00D26FEC" w:rsidRPr="00B13827" w:rsidRDefault="00D26FEC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Орган, выдающий документ</w:t>
            </w:r>
          </w:p>
        </w:tc>
      </w:tr>
      <w:tr w:rsidR="00D26FEC" w:rsidRPr="00B13827">
        <w:tc>
          <w:tcPr>
            <w:tcW w:w="567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26FEC" w:rsidRPr="00B13827" w:rsidRDefault="00D26FEC" w:rsidP="00614A1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ё</w:t>
            </w:r>
          </w:p>
        </w:tc>
        <w:tc>
          <w:tcPr>
            <w:tcW w:w="804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6FEC" w:rsidRPr="00B13827" w:rsidRDefault="00D26FEC" w:rsidP="0062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D26FEC" w:rsidRPr="00614A16" w:rsidRDefault="00D26FEC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26FEC" w:rsidRPr="00B13827">
        <w:trPr>
          <w:trHeight w:val="515"/>
        </w:trPr>
        <w:tc>
          <w:tcPr>
            <w:tcW w:w="567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26FEC" w:rsidRPr="00816605" w:rsidRDefault="00D26FEC" w:rsidP="00C570BF">
            <w:pPr>
              <w:pStyle w:val="BodyText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816605">
              <w:rPr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 или юридического лица</w:t>
            </w:r>
            <w:r w:rsidRPr="0081660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6FEC" w:rsidRPr="00B13827" w:rsidRDefault="00D26FEC" w:rsidP="0062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D26FEC" w:rsidRPr="00B13827" w:rsidRDefault="00D26FEC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ФМС</w:t>
            </w:r>
          </w:p>
        </w:tc>
      </w:tr>
      <w:tr w:rsidR="00D26FEC" w:rsidRPr="00B13827">
        <w:tc>
          <w:tcPr>
            <w:tcW w:w="567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26FEC" w:rsidRPr="00D2727A" w:rsidRDefault="00D26FEC" w:rsidP="00C57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vAlign w:val="center"/>
          </w:tcPr>
          <w:p w:rsidR="00D26FEC" w:rsidRPr="00B13827" w:rsidRDefault="00D26FEC" w:rsidP="000E55E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D26FEC" w:rsidRPr="00B13827" w:rsidRDefault="00D26FEC" w:rsidP="00B82030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D26FEC" w:rsidRDefault="00D26FEC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Нотариус,</w:t>
            </w:r>
          </w:p>
          <w:p w:rsidR="00D26FEC" w:rsidRPr="00B13827" w:rsidRDefault="00D26FEC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D26FEC" w:rsidRPr="00B13827">
        <w:trPr>
          <w:trHeight w:val="267"/>
        </w:trPr>
        <w:tc>
          <w:tcPr>
            <w:tcW w:w="567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26FEC" w:rsidRPr="00B13827" w:rsidRDefault="00D26FEC" w:rsidP="00625C24">
            <w:pPr>
              <w:pStyle w:val="NormalWeb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заявителей на земельный участок</w:t>
            </w:r>
          </w:p>
        </w:tc>
        <w:tc>
          <w:tcPr>
            <w:tcW w:w="804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D26FEC" w:rsidRPr="00B13827" w:rsidRDefault="00D26FEC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организация, заявитель</w:t>
            </w:r>
          </w:p>
        </w:tc>
      </w:tr>
      <w:tr w:rsidR="00D26FEC" w:rsidRPr="00B13827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pStyle w:val="NormalWeb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</w:t>
            </w:r>
          </w:p>
        </w:tc>
      </w:tr>
      <w:tr w:rsidR="00D26FEC" w:rsidRPr="00B13827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D26FEC" w:rsidRPr="00B13827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9B5C12">
            <w:pPr>
              <w:pStyle w:val="NormalWeb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</w:tr>
      <w:tr w:rsidR="00D26FEC" w:rsidRPr="00B13827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EE2B5F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</w:p>
        </w:tc>
      </w:tr>
      <w:tr w:rsidR="00D26FEC" w:rsidRPr="00B13827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E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pStyle w:val="ListParagraph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EE2B5F">
            <w:pPr>
              <w:pStyle w:val="ListParagraph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EC" w:rsidRPr="00B13827" w:rsidRDefault="00D26FEC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</w:p>
        </w:tc>
      </w:tr>
    </w:tbl>
    <w:p w:rsidR="00D26FEC" w:rsidRDefault="00D26FEC" w:rsidP="0064681B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26FEC" w:rsidRPr="0064681B" w:rsidRDefault="00D26FEC" w:rsidP="0064681B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D26FEC" w:rsidRPr="0064681B" w:rsidRDefault="00D26FEC" w:rsidP="0064681B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D26FEC" w:rsidRPr="00B13827" w:rsidRDefault="00D26FEC" w:rsidP="00743BD5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B13827" w:rsidRDefault="00D26FEC" w:rsidP="00B6219D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D26FEC" w:rsidRPr="00B13827" w:rsidRDefault="00D26FEC" w:rsidP="00B6219D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7F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текст заявления не поддается прочтению;</w:t>
      </w:r>
    </w:p>
    <w:p w:rsidR="00D26FEC" w:rsidRPr="00B13827" w:rsidRDefault="00D26FEC" w:rsidP="007F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p w:rsidR="00D26FEC" w:rsidRPr="00B13827" w:rsidRDefault="00D26FEC" w:rsidP="007F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26FEC" w:rsidRPr="00B13827" w:rsidRDefault="00D26FEC" w:rsidP="007F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B13827">
        <w:rPr>
          <w:rFonts w:ascii="Times New Roman" w:hAnsi="Times New Roman" w:cs="Times New Roman"/>
          <w:sz w:val="28"/>
          <w:szCs w:val="28"/>
        </w:rPr>
        <w:t>.</w:t>
      </w:r>
    </w:p>
    <w:p w:rsidR="00D26FEC" w:rsidRPr="00B13827" w:rsidRDefault="00D26FEC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0B7E5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услуги,если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D26FEC" w:rsidRPr="00B13827" w:rsidRDefault="00D26FEC" w:rsidP="000B7E5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9B5AFA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D26FEC" w:rsidRPr="00B13827" w:rsidRDefault="00D26FEC" w:rsidP="005D5F49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 Исчерпывающий перечень оснований для отказа в предоставлении услуги:</w:t>
      </w:r>
    </w:p>
    <w:p w:rsidR="00D26FEC" w:rsidRPr="00B13827" w:rsidRDefault="00D26FEC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9569D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3"/>
      <w:r w:rsidRPr="00B13827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заявления.</w:t>
      </w:r>
    </w:p>
    <w:p w:rsidR="00D26FEC" w:rsidRPr="00B13827" w:rsidRDefault="00D26FEC" w:rsidP="00015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bookmarkEnd w:id="1"/>
    <w:p w:rsidR="00D26FEC" w:rsidRPr="00B13827" w:rsidRDefault="00D26FEC" w:rsidP="000B5F8A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Х Общий срок предоставления услуги:</w:t>
      </w:r>
    </w:p>
    <w:p w:rsidR="00D26FEC" w:rsidRPr="00B13827" w:rsidRDefault="00D26FEC" w:rsidP="000B5F8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B13827" w:rsidRDefault="00D26FEC" w:rsidP="007F1F9F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D26FEC" w:rsidRPr="00B13827" w:rsidRDefault="00D26FEC" w:rsidP="00E82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D26FEC" w:rsidRPr="00B13827" w:rsidRDefault="00D26FEC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EC" w:rsidRPr="00B13827" w:rsidRDefault="00D26FEC" w:rsidP="00910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Выдача разрешения (ордера) на проведение земляных работ на территории общего пользования;</w:t>
      </w:r>
    </w:p>
    <w:p w:rsidR="00D26FEC" w:rsidRPr="00B13827" w:rsidRDefault="00D26FEC" w:rsidP="009101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D26FEC" w:rsidRPr="00B13827" w:rsidRDefault="00D26FEC" w:rsidP="00981CBC">
      <w:pPr>
        <w:pStyle w:val="ListParagraph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26FEC" w:rsidRPr="00B13827" w:rsidRDefault="00D26FEC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D26FEC" w:rsidRPr="00B13827" w:rsidRDefault="00D26FEC" w:rsidP="00A1185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247"/>
        <w:gridCol w:w="9051"/>
        <w:gridCol w:w="1675"/>
      </w:tblGrid>
      <w:tr w:rsidR="00D26FEC" w:rsidRPr="00B13827">
        <w:trPr>
          <w:trHeight w:val="186"/>
        </w:trPr>
        <w:tc>
          <w:tcPr>
            <w:tcW w:w="594" w:type="dxa"/>
            <w:vAlign w:val="center"/>
          </w:tcPr>
          <w:p w:rsidR="00D26FEC" w:rsidRPr="00B13827" w:rsidRDefault="00D26FEC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D26FEC" w:rsidRPr="00B13827" w:rsidRDefault="00D26FEC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D26FEC" w:rsidRPr="00B13827" w:rsidRDefault="00D26FEC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D26FEC" w:rsidRDefault="00D26FEC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D26FEC" w:rsidRPr="00B13827" w:rsidRDefault="00D26FEC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D26FEC" w:rsidRPr="00B13827">
        <w:trPr>
          <w:trHeight w:val="186"/>
        </w:trPr>
        <w:tc>
          <w:tcPr>
            <w:tcW w:w="594" w:type="dxa"/>
            <w:vAlign w:val="center"/>
          </w:tcPr>
          <w:p w:rsidR="00D26FEC" w:rsidRPr="00B13827" w:rsidRDefault="00D26FEC" w:rsidP="00472F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D26FEC" w:rsidRPr="00B13827" w:rsidRDefault="00D26FEC" w:rsidP="004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D26FEC" w:rsidRDefault="00D26FEC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01">
              <w:rPr>
                <w:rFonts w:ascii="Times New Roman" w:hAnsi="Times New Roman" w:cs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передача их в Администрацию </w:t>
            </w:r>
          </w:p>
          <w:p w:rsidR="00D26FEC" w:rsidRPr="00B84C01" w:rsidRDefault="00D26FEC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D26FEC" w:rsidRPr="00B13827" w:rsidRDefault="00D26FEC" w:rsidP="00472F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FEC" w:rsidRPr="00B13827">
        <w:trPr>
          <w:trHeight w:val="653"/>
        </w:trPr>
        <w:tc>
          <w:tcPr>
            <w:tcW w:w="594" w:type="dxa"/>
            <w:vAlign w:val="center"/>
          </w:tcPr>
          <w:p w:rsidR="00D26FEC" w:rsidRPr="00B13827" w:rsidRDefault="00D26FEC" w:rsidP="00472F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D26FEC" w:rsidRPr="00B13827" w:rsidRDefault="00D26FEC" w:rsidP="00C3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9051" w:type="dxa"/>
          </w:tcPr>
          <w:p w:rsidR="00D26FEC" w:rsidRPr="00860A7A" w:rsidRDefault="00D26FEC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рассмотрение заявления и документов. </w:t>
            </w:r>
          </w:p>
          <w:p w:rsidR="00D26FEC" w:rsidRPr="00B84C01" w:rsidRDefault="00D26FEC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D26FEC" w:rsidRPr="00B13827" w:rsidRDefault="00D26FEC" w:rsidP="00472F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FEC" w:rsidRPr="00B13827">
        <w:trPr>
          <w:trHeight w:val="643"/>
        </w:trPr>
        <w:tc>
          <w:tcPr>
            <w:tcW w:w="594" w:type="dxa"/>
            <w:vAlign w:val="center"/>
          </w:tcPr>
          <w:p w:rsidR="00D26FEC" w:rsidRPr="00B13827" w:rsidRDefault="00D26FEC" w:rsidP="00472F9A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D26FEC" w:rsidRPr="00B13827" w:rsidRDefault="00D26FEC" w:rsidP="006468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D26FEC" w:rsidRPr="00CF44E0" w:rsidRDefault="00D26FEC" w:rsidP="00C570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2197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D26FEC" w:rsidRDefault="00D26FEC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FEC" w:rsidRPr="00B13827" w:rsidRDefault="00D26FEC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6FEC" w:rsidRPr="00B13827" w:rsidRDefault="00D26FEC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4134A5">
      <w:pPr>
        <w:rPr>
          <w:rFonts w:ascii="Times New Roman" w:hAnsi="Times New Roman" w:cs="Times New Roman"/>
          <w:sz w:val="28"/>
          <w:szCs w:val="28"/>
        </w:rPr>
        <w:sectPr w:rsidR="00D26FEC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 xml:space="preserve">Главе Незамаевского сельского </w:t>
      </w: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поселения Павловского района</w:t>
      </w: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от_________________________</w:t>
      </w:r>
    </w:p>
    <w:p w:rsidR="00D26FEC" w:rsidRPr="002B2417" w:rsidRDefault="00D26FEC" w:rsidP="002B2417">
      <w:pPr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проживающего(щей) по адресу:</w:t>
      </w: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D26FEC" w:rsidRPr="002B2417" w:rsidRDefault="00D26FEC" w:rsidP="002B2417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паспорт____________________</w:t>
      </w:r>
    </w:p>
    <w:p w:rsidR="00D26FEC" w:rsidRPr="002B2417" w:rsidRDefault="00D26FEC" w:rsidP="002B2417">
      <w:pPr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417">
        <w:rPr>
          <w:rFonts w:ascii="Times New Roman" w:hAnsi="Times New Roman" w:cs="Times New Roman"/>
          <w:sz w:val="28"/>
          <w:szCs w:val="28"/>
          <w:lang w:eastAsia="ru-RU"/>
        </w:rPr>
        <w:t>(серия, номер, кем и когда выдан)</w:t>
      </w:r>
    </w:p>
    <w:p w:rsidR="00D26FEC" w:rsidRPr="002B2417" w:rsidRDefault="00D26FEC" w:rsidP="002B2417">
      <w:pPr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417">
        <w:rPr>
          <w:rFonts w:ascii="Times New Roman" w:hAnsi="Times New Roman" w:cs="Times New Roman"/>
          <w:sz w:val="28"/>
          <w:szCs w:val="28"/>
          <w:lang w:eastAsia="ru-RU"/>
        </w:rPr>
        <w:t>телефон № ___________________</w:t>
      </w: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ЗАЯВЛЕНИЕ</w:t>
      </w: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417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</w:t>
      </w:r>
      <w:r w:rsidRPr="002B2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выдать разрешение (ордер) на производство земляных работ на территории общего пользования.</w:t>
      </w: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Подпись</w:t>
      </w: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2B24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B13C1F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Default="00D26FEC" w:rsidP="004134A5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D26FEC" w:rsidRPr="00D2727A" w:rsidRDefault="00D26FEC" w:rsidP="004134A5">
      <w:pPr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 xml:space="preserve">Главе Незамаевского сельского </w:t>
      </w:r>
    </w:p>
    <w:p w:rsidR="00D26FEC" w:rsidRPr="002B2417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поселения Павловского района</w:t>
      </w:r>
    </w:p>
    <w:p w:rsidR="00D26FEC" w:rsidRPr="00874FDD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4F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Левченко С.А</w:t>
      </w:r>
    </w:p>
    <w:p w:rsidR="00D26FEC" w:rsidRPr="00874FDD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4FD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874F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Иванова И.И.</w:t>
      </w:r>
    </w:p>
    <w:p w:rsidR="00D26FEC" w:rsidRPr="002B2417" w:rsidRDefault="00D26FEC" w:rsidP="00874FDD">
      <w:pPr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D26FEC" w:rsidRPr="002B2417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проживающего(щей) по адресу:</w:t>
      </w:r>
    </w:p>
    <w:p w:rsidR="00D26FEC" w:rsidRPr="00874FDD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4F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4F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ст. Незамаевская, ул. Семашко , д.3</w:t>
      </w:r>
    </w:p>
    <w:p w:rsidR="00D26FEC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паспорт </w:t>
      </w:r>
      <w:r w:rsidRPr="00874FDD">
        <w:rPr>
          <w:rFonts w:ascii="Times New Roman" w:hAnsi="Times New Roman" w:cs="Times New Roman"/>
          <w:sz w:val="28"/>
          <w:szCs w:val="28"/>
          <w:u w:val="single"/>
          <w:lang w:eastAsia="ru-RU"/>
        </w:rPr>
        <w:t>0305 243215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Павловским                   </w:t>
      </w:r>
    </w:p>
    <w:p w:rsidR="00D26FEC" w:rsidRPr="00874FDD" w:rsidRDefault="00D26FEC" w:rsidP="00874FD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4F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РОВД Краснодарского края</w:t>
      </w:r>
    </w:p>
    <w:p w:rsidR="00D26FEC" w:rsidRPr="002B2417" w:rsidRDefault="00D26FEC" w:rsidP="00874FDD">
      <w:pPr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B2417">
        <w:rPr>
          <w:rFonts w:ascii="Times New Roman" w:hAnsi="Times New Roman" w:cs="Times New Roman"/>
          <w:sz w:val="28"/>
          <w:szCs w:val="28"/>
          <w:lang w:eastAsia="ru-RU"/>
        </w:rPr>
        <w:t>(серия, номер, кем и когда выдан)</w:t>
      </w:r>
    </w:p>
    <w:p w:rsidR="00D26FEC" w:rsidRPr="002B2417" w:rsidRDefault="00D26FEC" w:rsidP="00874FDD">
      <w:pPr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телефон № </w:t>
      </w:r>
      <w:r w:rsidRPr="00874FDD">
        <w:rPr>
          <w:rFonts w:ascii="Times New Roman" w:hAnsi="Times New Roman" w:cs="Times New Roman"/>
          <w:sz w:val="28"/>
          <w:szCs w:val="28"/>
          <w:u w:val="single"/>
          <w:lang w:eastAsia="ru-RU"/>
        </w:rPr>
        <w:t>38-2-54</w:t>
      </w: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ЗАЯВЛЕНИЕ</w:t>
      </w: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417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</w:t>
      </w:r>
      <w:r w:rsidRPr="002B2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выдать разрешение (ордер) на производство земляных работ на территории общего пользования.</w:t>
      </w: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15.03.2014 г.</w:t>
      </w: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B2417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Подпись</w:t>
      </w: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2B2417" w:rsidRDefault="00D26FEC" w:rsidP="00874FD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6FEC" w:rsidRPr="00B13827" w:rsidRDefault="00D26FEC" w:rsidP="000620F7">
      <w:pPr>
        <w:rPr>
          <w:rFonts w:ascii="Times New Roman" w:hAnsi="Times New Roman" w:cs="Times New Roman"/>
          <w:sz w:val="28"/>
          <w:szCs w:val="28"/>
        </w:rPr>
      </w:pPr>
    </w:p>
    <w:sectPr w:rsidR="00D26FEC" w:rsidRPr="00B13827" w:rsidSect="004134A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EC" w:rsidRDefault="00D26FEC" w:rsidP="000E6E3A">
      <w:r>
        <w:separator/>
      </w:r>
    </w:p>
  </w:endnote>
  <w:endnote w:type="continuationSeparator" w:id="1">
    <w:p w:rsidR="00D26FEC" w:rsidRDefault="00D26FEC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EC" w:rsidRDefault="00D26FEC" w:rsidP="000E6E3A">
      <w:r>
        <w:separator/>
      </w:r>
    </w:p>
  </w:footnote>
  <w:footnote w:type="continuationSeparator" w:id="1">
    <w:p w:rsidR="00D26FEC" w:rsidRDefault="00D26FEC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4D08A9"/>
    <w:multiLevelType w:val="hybridMultilevel"/>
    <w:tmpl w:val="26E6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21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5"/>
  </w:num>
  <w:num w:numId="5">
    <w:abstractNumId w:val="11"/>
  </w:num>
  <w:num w:numId="6">
    <w:abstractNumId w:val="18"/>
  </w:num>
  <w:num w:numId="7">
    <w:abstractNumId w:val="23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12"/>
  </w:num>
  <w:num w:numId="25">
    <w:abstractNumId w:val="6"/>
  </w:num>
  <w:num w:numId="26">
    <w:abstractNumId w:val="3"/>
  </w:num>
  <w:num w:numId="27">
    <w:abstractNumId w:val="19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B0"/>
    <w:rsid w:val="00011502"/>
    <w:rsid w:val="00012E3F"/>
    <w:rsid w:val="0001570C"/>
    <w:rsid w:val="000239A0"/>
    <w:rsid w:val="00027D50"/>
    <w:rsid w:val="000577C5"/>
    <w:rsid w:val="000620F7"/>
    <w:rsid w:val="00067F36"/>
    <w:rsid w:val="000B5F8A"/>
    <w:rsid w:val="000B7E59"/>
    <w:rsid w:val="000C0B8C"/>
    <w:rsid w:val="000C56D5"/>
    <w:rsid w:val="000C6002"/>
    <w:rsid w:val="000C7E30"/>
    <w:rsid w:val="000D7F4E"/>
    <w:rsid w:val="000E55E6"/>
    <w:rsid w:val="000E6E3A"/>
    <w:rsid w:val="001013AD"/>
    <w:rsid w:val="00105189"/>
    <w:rsid w:val="001237E8"/>
    <w:rsid w:val="001405FF"/>
    <w:rsid w:val="001429F0"/>
    <w:rsid w:val="001537CE"/>
    <w:rsid w:val="00153AAF"/>
    <w:rsid w:val="00181D50"/>
    <w:rsid w:val="00181D95"/>
    <w:rsid w:val="001C09CC"/>
    <w:rsid w:val="001C2B08"/>
    <w:rsid w:val="001C7367"/>
    <w:rsid w:val="001C7390"/>
    <w:rsid w:val="001E52A1"/>
    <w:rsid w:val="001F5E17"/>
    <w:rsid w:val="00201A50"/>
    <w:rsid w:val="00215655"/>
    <w:rsid w:val="00223A71"/>
    <w:rsid w:val="00223B2C"/>
    <w:rsid w:val="002309EE"/>
    <w:rsid w:val="00240A42"/>
    <w:rsid w:val="00240C6E"/>
    <w:rsid w:val="002419D7"/>
    <w:rsid w:val="002438B0"/>
    <w:rsid w:val="00260AA2"/>
    <w:rsid w:val="00264321"/>
    <w:rsid w:val="00271146"/>
    <w:rsid w:val="002776D1"/>
    <w:rsid w:val="0028225D"/>
    <w:rsid w:val="00285010"/>
    <w:rsid w:val="0029583D"/>
    <w:rsid w:val="002A0727"/>
    <w:rsid w:val="002B2269"/>
    <w:rsid w:val="002B2417"/>
    <w:rsid w:val="002B3F9E"/>
    <w:rsid w:val="002B77F4"/>
    <w:rsid w:val="002B7CDA"/>
    <w:rsid w:val="002D2AB6"/>
    <w:rsid w:val="002E2512"/>
    <w:rsid w:val="002F47F5"/>
    <w:rsid w:val="002F4D4F"/>
    <w:rsid w:val="00330A2A"/>
    <w:rsid w:val="003477A0"/>
    <w:rsid w:val="003545B6"/>
    <w:rsid w:val="00362733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A7DD7"/>
    <w:rsid w:val="003B45D0"/>
    <w:rsid w:val="003D67BC"/>
    <w:rsid w:val="003E7327"/>
    <w:rsid w:val="00410E38"/>
    <w:rsid w:val="004134A5"/>
    <w:rsid w:val="004144F0"/>
    <w:rsid w:val="00416E59"/>
    <w:rsid w:val="00454132"/>
    <w:rsid w:val="00465780"/>
    <w:rsid w:val="00470D45"/>
    <w:rsid w:val="00472F9A"/>
    <w:rsid w:val="004751D6"/>
    <w:rsid w:val="004E5913"/>
    <w:rsid w:val="004F4BBB"/>
    <w:rsid w:val="00502635"/>
    <w:rsid w:val="00503145"/>
    <w:rsid w:val="005077F9"/>
    <w:rsid w:val="00511C47"/>
    <w:rsid w:val="005134AB"/>
    <w:rsid w:val="005202F4"/>
    <w:rsid w:val="00525449"/>
    <w:rsid w:val="00533DED"/>
    <w:rsid w:val="0054231A"/>
    <w:rsid w:val="005503A8"/>
    <w:rsid w:val="00551B93"/>
    <w:rsid w:val="00571894"/>
    <w:rsid w:val="00582DE1"/>
    <w:rsid w:val="005C1637"/>
    <w:rsid w:val="005D5F49"/>
    <w:rsid w:val="005D6450"/>
    <w:rsid w:val="005E3FDD"/>
    <w:rsid w:val="005E6DF5"/>
    <w:rsid w:val="005F3BB3"/>
    <w:rsid w:val="005F4F59"/>
    <w:rsid w:val="00601159"/>
    <w:rsid w:val="00606A83"/>
    <w:rsid w:val="00614A16"/>
    <w:rsid w:val="006203C6"/>
    <w:rsid w:val="006206AE"/>
    <w:rsid w:val="00622197"/>
    <w:rsid w:val="00625C24"/>
    <w:rsid w:val="0063023E"/>
    <w:rsid w:val="00630A63"/>
    <w:rsid w:val="0064681B"/>
    <w:rsid w:val="00662154"/>
    <w:rsid w:val="0066471C"/>
    <w:rsid w:val="00666C7C"/>
    <w:rsid w:val="00677970"/>
    <w:rsid w:val="006802B2"/>
    <w:rsid w:val="00691634"/>
    <w:rsid w:val="006A05AA"/>
    <w:rsid w:val="006A3B5C"/>
    <w:rsid w:val="006C29B2"/>
    <w:rsid w:val="006D28E0"/>
    <w:rsid w:val="006D4395"/>
    <w:rsid w:val="006D72E9"/>
    <w:rsid w:val="006D7406"/>
    <w:rsid w:val="006E5E19"/>
    <w:rsid w:val="006E692D"/>
    <w:rsid w:val="00713243"/>
    <w:rsid w:val="00716220"/>
    <w:rsid w:val="00726295"/>
    <w:rsid w:val="00743BD5"/>
    <w:rsid w:val="007517B3"/>
    <w:rsid w:val="00761E66"/>
    <w:rsid w:val="00763540"/>
    <w:rsid w:val="00774AC8"/>
    <w:rsid w:val="0078005E"/>
    <w:rsid w:val="007835B9"/>
    <w:rsid w:val="00784F61"/>
    <w:rsid w:val="007A3A80"/>
    <w:rsid w:val="007A7595"/>
    <w:rsid w:val="007C72FC"/>
    <w:rsid w:val="007D4A82"/>
    <w:rsid w:val="007D5A9C"/>
    <w:rsid w:val="007F1F9F"/>
    <w:rsid w:val="00800C1C"/>
    <w:rsid w:val="00805CFA"/>
    <w:rsid w:val="00807B1E"/>
    <w:rsid w:val="00816605"/>
    <w:rsid w:val="00821E29"/>
    <w:rsid w:val="00822B87"/>
    <w:rsid w:val="008249FB"/>
    <w:rsid w:val="008258D6"/>
    <w:rsid w:val="0083059C"/>
    <w:rsid w:val="008427D0"/>
    <w:rsid w:val="00852374"/>
    <w:rsid w:val="0085418F"/>
    <w:rsid w:val="00860A7A"/>
    <w:rsid w:val="0086489F"/>
    <w:rsid w:val="00866215"/>
    <w:rsid w:val="00866308"/>
    <w:rsid w:val="008709E0"/>
    <w:rsid w:val="00874FDD"/>
    <w:rsid w:val="00894FE2"/>
    <w:rsid w:val="008C0FC9"/>
    <w:rsid w:val="008D1B9C"/>
    <w:rsid w:val="008D6795"/>
    <w:rsid w:val="008E251D"/>
    <w:rsid w:val="008F322D"/>
    <w:rsid w:val="008F7AC4"/>
    <w:rsid w:val="00910141"/>
    <w:rsid w:val="00924017"/>
    <w:rsid w:val="00927593"/>
    <w:rsid w:val="00932B6A"/>
    <w:rsid w:val="0095243F"/>
    <w:rsid w:val="00953655"/>
    <w:rsid w:val="009569DF"/>
    <w:rsid w:val="00976E40"/>
    <w:rsid w:val="00980B91"/>
    <w:rsid w:val="00981CBC"/>
    <w:rsid w:val="0098364E"/>
    <w:rsid w:val="0099676D"/>
    <w:rsid w:val="009A6444"/>
    <w:rsid w:val="009B0378"/>
    <w:rsid w:val="009B5AFA"/>
    <w:rsid w:val="009B5C12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21996"/>
    <w:rsid w:val="00A33F67"/>
    <w:rsid w:val="00A35B11"/>
    <w:rsid w:val="00A42E55"/>
    <w:rsid w:val="00A44002"/>
    <w:rsid w:val="00A623BB"/>
    <w:rsid w:val="00A9695C"/>
    <w:rsid w:val="00AA39FE"/>
    <w:rsid w:val="00AA7259"/>
    <w:rsid w:val="00AA7670"/>
    <w:rsid w:val="00AA7EBC"/>
    <w:rsid w:val="00AC1D56"/>
    <w:rsid w:val="00AC4233"/>
    <w:rsid w:val="00AD2E91"/>
    <w:rsid w:val="00AE6236"/>
    <w:rsid w:val="00AF0D0B"/>
    <w:rsid w:val="00AF4B22"/>
    <w:rsid w:val="00AF67C0"/>
    <w:rsid w:val="00AF7894"/>
    <w:rsid w:val="00B12A53"/>
    <w:rsid w:val="00B13827"/>
    <w:rsid w:val="00B13C1F"/>
    <w:rsid w:val="00B2313C"/>
    <w:rsid w:val="00B26A49"/>
    <w:rsid w:val="00B34906"/>
    <w:rsid w:val="00B40C85"/>
    <w:rsid w:val="00B466FC"/>
    <w:rsid w:val="00B5271B"/>
    <w:rsid w:val="00B5699F"/>
    <w:rsid w:val="00B6219D"/>
    <w:rsid w:val="00B6795F"/>
    <w:rsid w:val="00B82030"/>
    <w:rsid w:val="00B82357"/>
    <w:rsid w:val="00B84C01"/>
    <w:rsid w:val="00B85F01"/>
    <w:rsid w:val="00B91513"/>
    <w:rsid w:val="00B927B1"/>
    <w:rsid w:val="00B95B1F"/>
    <w:rsid w:val="00BA4859"/>
    <w:rsid w:val="00BB0439"/>
    <w:rsid w:val="00BB0C57"/>
    <w:rsid w:val="00BB540D"/>
    <w:rsid w:val="00BB55AF"/>
    <w:rsid w:val="00BE0C84"/>
    <w:rsid w:val="00BE2220"/>
    <w:rsid w:val="00BF1F7D"/>
    <w:rsid w:val="00C01F36"/>
    <w:rsid w:val="00C037F3"/>
    <w:rsid w:val="00C15098"/>
    <w:rsid w:val="00C2057B"/>
    <w:rsid w:val="00C33904"/>
    <w:rsid w:val="00C34DC1"/>
    <w:rsid w:val="00C34DF1"/>
    <w:rsid w:val="00C35026"/>
    <w:rsid w:val="00C43F8E"/>
    <w:rsid w:val="00C44765"/>
    <w:rsid w:val="00C570BF"/>
    <w:rsid w:val="00C80EB1"/>
    <w:rsid w:val="00C93FD3"/>
    <w:rsid w:val="00C940BA"/>
    <w:rsid w:val="00CE3182"/>
    <w:rsid w:val="00CF44E0"/>
    <w:rsid w:val="00D06BF0"/>
    <w:rsid w:val="00D24853"/>
    <w:rsid w:val="00D262E1"/>
    <w:rsid w:val="00D26FEC"/>
    <w:rsid w:val="00D2727A"/>
    <w:rsid w:val="00D47946"/>
    <w:rsid w:val="00D55ECF"/>
    <w:rsid w:val="00D6212B"/>
    <w:rsid w:val="00D66E88"/>
    <w:rsid w:val="00D8210B"/>
    <w:rsid w:val="00D842B8"/>
    <w:rsid w:val="00D9641B"/>
    <w:rsid w:val="00DA3DFB"/>
    <w:rsid w:val="00DB1131"/>
    <w:rsid w:val="00DB7346"/>
    <w:rsid w:val="00DC415A"/>
    <w:rsid w:val="00DD41E8"/>
    <w:rsid w:val="00DE2EF8"/>
    <w:rsid w:val="00E00B93"/>
    <w:rsid w:val="00E052EB"/>
    <w:rsid w:val="00E111B1"/>
    <w:rsid w:val="00E33B59"/>
    <w:rsid w:val="00E46607"/>
    <w:rsid w:val="00E515E5"/>
    <w:rsid w:val="00E52845"/>
    <w:rsid w:val="00E548C5"/>
    <w:rsid w:val="00E62D7D"/>
    <w:rsid w:val="00E67D37"/>
    <w:rsid w:val="00E72CA0"/>
    <w:rsid w:val="00E73A97"/>
    <w:rsid w:val="00E824F7"/>
    <w:rsid w:val="00E95076"/>
    <w:rsid w:val="00EB18D6"/>
    <w:rsid w:val="00EB4887"/>
    <w:rsid w:val="00EB7053"/>
    <w:rsid w:val="00EC4A4D"/>
    <w:rsid w:val="00EE2B5F"/>
    <w:rsid w:val="00EE53D9"/>
    <w:rsid w:val="00EF4D74"/>
    <w:rsid w:val="00F03B17"/>
    <w:rsid w:val="00F07A0A"/>
    <w:rsid w:val="00F16A83"/>
    <w:rsid w:val="00F40426"/>
    <w:rsid w:val="00F83C33"/>
    <w:rsid w:val="00F958BD"/>
    <w:rsid w:val="00FA3083"/>
    <w:rsid w:val="00FC0AA7"/>
    <w:rsid w:val="00FD2BE0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3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NoSpacing">
    <w:name w:val="No Spacing"/>
    <w:uiPriority w:val="99"/>
    <w:qFormat/>
    <w:rsid w:val="00A1185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11853"/>
    <w:pPr>
      <w:ind w:left="720"/>
    </w:pPr>
  </w:style>
  <w:style w:type="table" w:styleId="TableGrid">
    <w:name w:val="Table Grid"/>
    <w:basedOn w:val="TableNormal"/>
    <w:uiPriority w:val="99"/>
    <w:rsid w:val="00A118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Normal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 w:cs="Symbol"/>
      <w:color w:val="000000"/>
    </w:rPr>
  </w:style>
  <w:style w:type="paragraph" w:styleId="Header">
    <w:name w:val="header"/>
    <w:basedOn w:val="Normal"/>
    <w:link w:val="HeaderChar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E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E3A"/>
    <w:rPr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E46607"/>
    <w:rPr>
      <w:b/>
      <w:bCs/>
      <w:color w:val="008000"/>
    </w:rPr>
  </w:style>
  <w:style w:type="character" w:styleId="Hyperlink">
    <w:name w:val="Hyperlink"/>
    <w:basedOn w:val="DefaultParagraphFont"/>
    <w:uiPriority w:val="99"/>
    <w:rsid w:val="008F7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1052</Words>
  <Characters>6003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2/23</dc:title>
  <dc:subject/>
  <dc:creator>mfc21</dc:creator>
  <cp:keywords/>
  <dc:description/>
  <cp:lastModifiedBy>Незамаевская</cp:lastModifiedBy>
  <cp:revision>2</cp:revision>
  <cp:lastPrinted>2016-06-28T10:52:00Z</cp:lastPrinted>
  <dcterms:created xsi:type="dcterms:W3CDTF">2018-07-30T11:54:00Z</dcterms:created>
  <dcterms:modified xsi:type="dcterms:W3CDTF">2018-07-30T11:54:00Z</dcterms:modified>
</cp:coreProperties>
</file>